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548" w:rsidRDefault="00066222" w:rsidP="009F7CDC">
      <w:pPr>
        <w:keepNext/>
        <w:spacing w:line="240" w:lineRule="auto"/>
        <w:jc w:val="center"/>
      </w:pPr>
      <w:r>
        <w:rPr>
          <w:rFonts w:cs="Times New Roman"/>
          <w:b/>
          <w:sz w:val="28"/>
        </w:rPr>
        <w:t>PARIDADE NO TRIÂNGULO DE PASCAL</w:t>
      </w:r>
    </w:p>
    <w:p w:rsidR="007E494D" w:rsidRDefault="007E494D" w:rsidP="007E494D">
      <w:pPr>
        <w:spacing w:line="240" w:lineRule="auto"/>
        <w:jc w:val="right"/>
        <w:rPr>
          <w:rFonts w:cs="Times New Roman"/>
          <w:b/>
          <w:i/>
          <w:sz w:val="22"/>
        </w:rPr>
      </w:pPr>
      <w:r>
        <w:rPr>
          <w:rFonts w:cs="Times New Roman"/>
          <w:b/>
          <w:i/>
          <w:sz w:val="22"/>
        </w:rPr>
        <w:t xml:space="preserve"> </w:t>
      </w:r>
    </w:p>
    <w:p w:rsidR="00621548" w:rsidRPr="007E494D" w:rsidRDefault="007E494D" w:rsidP="007E494D">
      <w:pPr>
        <w:spacing w:line="240" w:lineRule="auto"/>
        <w:jc w:val="right"/>
        <w:rPr>
          <w:i/>
          <w:sz w:val="22"/>
        </w:rPr>
      </w:pPr>
      <w:r>
        <w:rPr>
          <w:rFonts w:cs="Times New Roman"/>
          <w:b/>
          <w:i/>
          <w:sz w:val="22"/>
        </w:rPr>
        <w:t xml:space="preserve"> Helena Orellana Rodriguez</w:t>
      </w:r>
    </w:p>
    <w:p w:rsidR="00621548" w:rsidRPr="007E494D" w:rsidRDefault="00066222" w:rsidP="007E494D">
      <w:pPr>
        <w:spacing w:line="240" w:lineRule="auto"/>
        <w:jc w:val="right"/>
        <w:rPr>
          <w:i/>
          <w:sz w:val="22"/>
        </w:rPr>
      </w:pPr>
      <w:r w:rsidRPr="007E494D">
        <w:rPr>
          <w:rFonts w:cs="Times New Roman"/>
          <w:i/>
          <w:sz w:val="22"/>
        </w:rPr>
        <w:t>UFMS/CPAQ</w:t>
      </w:r>
    </w:p>
    <w:p w:rsidR="00621548" w:rsidRPr="007E494D" w:rsidRDefault="00066222" w:rsidP="007E494D">
      <w:pPr>
        <w:spacing w:line="240" w:lineRule="auto"/>
        <w:jc w:val="right"/>
        <w:rPr>
          <w:i/>
          <w:sz w:val="22"/>
        </w:rPr>
      </w:pPr>
      <w:r w:rsidRPr="007E494D">
        <w:rPr>
          <w:rFonts w:cs="Times New Roman"/>
          <w:i/>
          <w:sz w:val="22"/>
        </w:rPr>
        <w:t>E-mail</w:t>
      </w:r>
    </w:p>
    <w:p w:rsidR="00621548" w:rsidRDefault="00621548" w:rsidP="007E494D"/>
    <w:p w:rsidR="00621548" w:rsidRDefault="00066222">
      <w:pPr>
        <w:keepNext/>
        <w:spacing w:before="120" w:line="240" w:lineRule="auto"/>
        <w:jc w:val="center"/>
      </w:pPr>
      <w:r>
        <w:rPr>
          <w:rFonts w:cs="Times New Roman"/>
          <w:b/>
        </w:rPr>
        <w:t xml:space="preserve">Figura 1. Paridade no </w:t>
      </w:r>
      <w:r>
        <w:rPr>
          <w:rFonts w:cs="Times New Roman"/>
          <w:b/>
        </w:rPr>
        <w:t>Triângulo de Pascal</w:t>
      </w:r>
    </w:p>
    <w:p w:rsidR="007E494D" w:rsidRDefault="007E494D" w:rsidP="007E494D">
      <w:pPr>
        <w:spacing w:line="240" w:lineRule="auto"/>
        <w:jc w:val="center"/>
        <w:rPr>
          <w:noProof/>
        </w:rPr>
      </w:pPr>
    </w:p>
    <w:p w:rsidR="007E494D" w:rsidRDefault="00066222" w:rsidP="007E494D">
      <w:pPr>
        <w:spacing w:line="240" w:lineRule="auto"/>
        <w:jc w:val="center"/>
        <w:rPr>
          <w:rFonts w:cs="Times New Roman"/>
          <w:i/>
          <w:sz w:val="20"/>
        </w:rPr>
      </w:pPr>
      <w:r>
        <w:rPr>
          <w:noProof/>
        </w:rPr>
        <w:drawing>
          <wp:inline distT="0" distB="0" distL="0" distR="0">
            <wp:extent cx="3887470" cy="3194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idade_Triangulo_de_Pascal_A2_300dpi.png"/>
                    <pic:cNvPicPr/>
                  </pic:nvPicPr>
                  <pic:blipFill rotWithShape="1">
                    <a:blip r:embed="rId8"/>
                    <a:srcRect t="6984" b="7325"/>
                    <a:stretch/>
                  </pic:blipFill>
                  <pic:spPr bwMode="auto">
                    <a:xfrm>
                      <a:off x="0" y="0"/>
                      <a:ext cx="3888000" cy="319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548" w:rsidRDefault="00066222" w:rsidP="007E494D">
      <w:pPr>
        <w:spacing w:line="240" w:lineRule="auto"/>
        <w:jc w:val="center"/>
      </w:pPr>
      <w:r w:rsidRPr="007E494D">
        <w:rPr>
          <w:rFonts w:cs="Times New Roman"/>
          <w:b/>
          <w:i/>
          <w:sz w:val="20"/>
        </w:rPr>
        <w:t>Fonte</w:t>
      </w:r>
      <w:r>
        <w:rPr>
          <w:rFonts w:cs="Times New Roman"/>
          <w:i/>
          <w:sz w:val="20"/>
        </w:rPr>
        <w:t xml:space="preserve">: </w:t>
      </w:r>
      <w:proofErr w:type="spellStart"/>
      <w:r>
        <w:rPr>
          <w:rFonts w:cs="Times New Roman"/>
          <w:i/>
          <w:sz w:val="20"/>
        </w:rPr>
        <w:t>elaboração</w:t>
      </w:r>
      <w:proofErr w:type="spellEnd"/>
      <w:r>
        <w:rPr>
          <w:rFonts w:cs="Times New Roman"/>
          <w:i/>
          <w:sz w:val="20"/>
        </w:rPr>
        <w:t xml:space="preserve"> </w:t>
      </w:r>
      <w:proofErr w:type="spellStart"/>
      <w:r>
        <w:rPr>
          <w:rFonts w:cs="Times New Roman"/>
          <w:i/>
          <w:sz w:val="20"/>
        </w:rPr>
        <w:t>própria</w:t>
      </w:r>
      <w:proofErr w:type="spellEnd"/>
      <w:r>
        <w:rPr>
          <w:rFonts w:cs="Times New Roman"/>
          <w:i/>
          <w:sz w:val="20"/>
        </w:rPr>
        <w:t>, 2026.</w:t>
      </w:r>
    </w:p>
    <w:p w:rsidR="00621548" w:rsidRDefault="00066222">
      <w:pPr>
        <w:keepNext/>
        <w:spacing w:before="120"/>
      </w:pPr>
      <w:r>
        <w:rPr>
          <w:rFonts w:cs="Times New Roman"/>
          <w:b/>
        </w:rPr>
        <w:t>SOBRE A OBRA</w:t>
      </w:r>
    </w:p>
    <w:p w:rsidR="00621548" w:rsidRDefault="00066222">
      <w:pPr>
        <w:jc w:val="both"/>
      </w:pPr>
      <w:r>
        <w:rPr>
          <w:rFonts w:cs="Times New Roman"/>
        </w:rPr>
        <w:t>A obra é construída a partir do Triângulo de Pascal. Cada coeficiente é classificado apenas por sua paridade: os números ímpares são destacados, enquanto os pares permanecem sem preenchime</w:t>
      </w:r>
      <w:r>
        <w:rPr>
          <w:rFonts w:cs="Times New Roman"/>
        </w:rPr>
        <w:t>nto. Quando essa regra é repetida em muitas linhas, surge uma estrutura triangular autossimilar, conhecida como Triângulo de Sierpiński. A imagem mostra como uma regra aritmética elementar pode determinar uma composição visual complexa, sem que o padrão fi</w:t>
      </w:r>
      <w:r>
        <w:rPr>
          <w:rFonts w:cs="Times New Roman"/>
        </w:rPr>
        <w:t>nal seja desenhado previamente.</w:t>
      </w:r>
    </w:p>
    <w:p w:rsidR="00621548" w:rsidRDefault="00066222">
      <w:pPr>
        <w:keepNext/>
        <w:spacing w:before="120"/>
      </w:pPr>
      <w:r>
        <w:rPr>
          <w:rFonts w:cs="Times New Roman"/>
          <w:b/>
        </w:rPr>
        <w:t>A MATEMÁTICA NA OBRA</w:t>
      </w:r>
    </w:p>
    <w:p w:rsidR="00621548" w:rsidRDefault="00066222">
      <w:pPr>
        <w:jc w:val="both"/>
      </w:pPr>
      <w:r>
        <w:rPr>
          <w:rFonts w:cs="Times New Roman"/>
        </w:rPr>
        <w:t>No Triângulo de Pascal, cada elemento interno é obtido pela soma dos dois elementos imediatamente acima. Nesta obra, interessa apenas saber se cada coeficiente é par ou ímpar, isto é, seu resto na divisã</w:t>
      </w:r>
      <w:r>
        <w:rPr>
          <w:rFonts w:cs="Times New Roman"/>
        </w:rPr>
        <w:t xml:space="preserve">o por 2. Os coeficientes ímpares são representados visualmente e os pares são omitidos. Ao repetir esse procedimento, aparecem triângulos vazios em diferentes escalas e o padrão se reproduz dentro de si mesmo. A relação entre o Triângulo de Pascal </w:t>
      </w:r>
      <w:r>
        <w:rPr>
          <w:rFonts w:cs="Times New Roman"/>
        </w:rPr>
        <w:lastRenderedPageBreak/>
        <w:t>consider</w:t>
      </w:r>
      <w:r>
        <w:rPr>
          <w:rFonts w:cs="Times New Roman"/>
        </w:rPr>
        <w:t xml:space="preserve">ado módulo 2 e o Triângulo de Sierpiński é conhecida na literatura </w:t>
      </w:r>
      <w:proofErr w:type="spellStart"/>
      <w:r>
        <w:rPr>
          <w:rFonts w:cs="Times New Roman"/>
        </w:rPr>
        <w:t>matemática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B</w:t>
      </w:r>
      <w:r w:rsidR="007E494D">
        <w:rPr>
          <w:rFonts w:cs="Times New Roman"/>
        </w:rPr>
        <w:t>roomhead</w:t>
      </w:r>
      <w:proofErr w:type="spellEnd"/>
      <w:r>
        <w:rPr>
          <w:rFonts w:cs="Times New Roman"/>
        </w:rPr>
        <w:t>, 1972; G</w:t>
      </w:r>
      <w:r w:rsidR="007E494D">
        <w:rPr>
          <w:rFonts w:cs="Times New Roman"/>
        </w:rPr>
        <w:t>oodman</w:t>
      </w:r>
      <w:r>
        <w:rPr>
          <w:rFonts w:cs="Times New Roman"/>
        </w:rPr>
        <w:t>-S</w:t>
      </w:r>
      <w:r w:rsidR="007E494D">
        <w:rPr>
          <w:rFonts w:cs="Times New Roman"/>
        </w:rPr>
        <w:t>trauss</w:t>
      </w:r>
      <w:r>
        <w:rPr>
          <w:rFonts w:cs="Times New Roman"/>
        </w:rPr>
        <w:t>, 2024).</w:t>
      </w:r>
    </w:p>
    <w:p w:rsidR="00621548" w:rsidRDefault="00066222">
      <w:pPr>
        <w:keepNext/>
        <w:spacing w:before="120"/>
      </w:pPr>
      <w:r>
        <w:rPr>
          <w:rFonts w:cs="Times New Roman"/>
          <w:b/>
        </w:rPr>
        <w:t>COMO A OBRA FOI CONSTRUÍDA</w:t>
      </w:r>
    </w:p>
    <w:p w:rsidR="00621548" w:rsidRDefault="00066222">
      <w:pPr>
        <w:jc w:val="both"/>
      </w:pPr>
      <w:r>
        <w:rPr>
          <w:rFonts w:cs="Times New Roman"/>
        </w:rPr>
        <w:t>A construção foi realizada computacionalmente. Primeiro, geram-se sucessivamente as linhas do Triângulo de Pa</w:t>
      </w:r>
      <w:r>
        <w:rPr>
          <w:rFonts w:cs="Times New Roman"/>
        </w:rPr>
        <w:t xml:space="preserve">scal trabalhando apenas com os restos módulo 2. Em seguida, cada coeficiente ímpar é colocado em uma malha triangular, enquanto os coeficientes pares não são desenhados. O processo é repetido por 512 linhas, produzindo a estrutura autossimilar mostrada na </w:t>
      </w:r>
      <w:r>
        <w:rPr>
          <w:rFonts w:cs="Times New Roman"/>
        </w:rPr>
        <w:t>Figura 1. A versão final foi gerada em Python com NumPy e Matplotlib.</w:t>
      </w:r>
    </w:p>
    <w:p w:rsidR="00621548" w:rsidRDefault="00066222">
      <w:pPr>
        <w:keepNext/>
        <w:spacing w:before="120"/>
      </w:pPr>
      <w:r>
        <w:rPr>
          <w:rFonts w:cs="Times New Roman"/>
          <w:b/>
        </w:rPr>
        <w:t>USO DE INTELIGÊNCIA ARTIFICIAL (QUANDO HOUVER)</w:t>
      </w:r>
    </w:p>
    <w:p w:rsidR="00621548" w:rsidRDefault="00066222">
      <w:pPr>
        <w:jc w:val="both"/>
      </w:pPr>
      <w:r>
        <w:rPr>
          <w:rFonts w:cs="Times New Roman"/>
        </w:rPr>
        <w:t xml:space="preserve">Foi utilizado o ChatGPT, da OpenAI, como ferramenta de apoio na elaboração e revisão do código Python e na organização textual do exemplo. </w:t>
      </w:r>
      <w:r>
        <w:rPr>
          <w:rFonts w:cs="Times New Roman"/>
        </w:rPr>
        <w:t>O código foi testado e revisado, e a fundamentação matemática, as escolhas de representação e a versão final permanecem sob responsabilidade do(a) autor(a).</w:t>
      </w:r>
    </w:p>
    <w:p w:rsidR="00621548" w:rsidRDefault="00066222">
      <w:pPr>
        <w:keepNext/>
        <w:spacing w:before="120"/>
      </w:pPr>
      <w:r>
        <w:rPr>
          <w:rFonts w:cs="Times New Roman"/>
          <w:b/>
        </w:rPr>
        <w:t>RECURSO COMPLEMENTAR (QUANDO HOUVER)</w:t>
      </w:r>
    </w:p>
    <w:p w:rsidR="00621548" w:rsidRDefault="00066222" w:rsidP="007E494D">
      <w:pPr>
        <w:jc w:val="both"/>
      </w:pPr>
      <w:r>
        <w:rPr>
          <w:rFonts w:cs="Times New Roman"/>
        </w:rPr>
        <w:t xml:space="preserve">Versão interativa e código utilizados na exploração: </w:t>
      </w:r>
      <w:hyperlink r:id="rId9" w:anchor="scrollTo=cjf-zUzo2hbs">
        <w:r>
          <w:rPr>
            <w:rFonts w:cs="Times New Roman"/>
            <w:color w:val="0000FF"/>
            <w:szCs w:val="24"/>
            <w:u w:val="single"/>
          </w:rPr>
          <w:t>https://colab.research.google.com/drive/1UghzwCkFWdi0lSYrv-XYwXn0mxEnFfBM#scrollTo=cjf-zUzo2hbs</w:t>
        </w:r>
      </w:hyperlink>
    </w:p>
    <w:p w:rsidR="00621548" w:rsidRDefault="00066222">
      <w:pPr>
        <w:keepNext/>
        <w:spacing w:before="120"/>
      </w:pPr>
      <w:r>
        <w:rPr>
          <w:rFonts w:cs="Times New Roman"/>
          <w:b/>
        </w:rPr>
        <w:t>REFERÊNCIAS</w:t>
      </w:r>
    </w:p>
    <w:p w:rsidR="00621548" w:rsidRDefault="00066222" w:rsidP="007E494D">
      <w:pPr>
        <w:spacing w:after="240" w:line="240" w:lineRule="auto"/>
      </w:pPr>
      <w:r>
        <w:rPr>
          <w:rFonts w:cs="Times New Roman"/>
        </w:rPr>
        <w:t>BROOMHEAD, W. Antony. Pascal (Mod p).</w:t>
      </w:r>
      <w:r>
        <w:rPr>
          <w:rFonts w:cs="Times New Roman"/>
        </w:rPr>
        <w:t xml:space="preserve"> The Mathematical Gazette, v. 56, n. 398, p. 267-271, 1972. DOI: 10.2307/3617828.</w:t>
      </w:r>
    </w:p>
    <w:p w:rsidR="00621548" w:rsidRDefault="00066222">
      <w:pPr>
        <w:spacing w:after="240" w:line="240" w:lineRule="auto"/>
      </w:pPr>
      <w:r>
        <w:rPr>
          <w:rFonts w:cs="Times New Roman"/>
        </w:rPr>
        <w:t xml:space="preserve">GOODMAN-STRAUSS, Chaim. Remark on Pascal's Triangle. arXiv:2405.13060, 2024. Disponível em: </w:t>
      </w:r>
      <w:hyperlink r:id="rId10">
        <w:r>
          <w:rPr>
            <w:rFonts w:cs="Times New Roman"/>
            <w:color w:val="0000FF"/>
            <w:szCs w:val="24"/>
            <w:u w:val="single"/>
          </w:rPr>
          <w:t>https://arxiv.org/abs/2405.13060</w:t>
        </w:r>
      </w:hyperlink>
      <w:r>
        <w:rPr>
          <w:rFonts w:cs="Times New Roman"/>
        </w:rPr>
        <w:t>. Acesso em: 11 ago. 2026.</w:t>
      </w:r>
      <w:bookmarkStart w:id="0" w:name="_GoBack"/>
      <w:bookmarkEnd w:id="0"/>
    </w:p>
    <w:sectPr w:rsidR="00621548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27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222" w:rsidRDefault="00066222">
      <w:pPr>
        <w:spacing w:line="240" w:lineRule="auto"/>
      </w:pPr>
      <w:r>
        <w:separator/>
      </w:r>
    </w:p>
  </w:endnote>
  <w:endnote w:type="continuationSeparator" w:id="0">
    <w:p w:rsidR="00066222" w:rsidRDefault="00066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222" w:rsidRDefault="00066222">
      <w:pPr>
        <w:spacing w:line="240" w:lineRule="auto"/>
      </w:pPr>
      <w:r>
        <w:separator/>
      </w:r>
    </w:p>
  </w:footnote>
  <w:footnote w:type="continuationSeparator" w:id="0">
    <w:p w:rsidR="00066222" w:rsidRDefault="000662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548" w:rsidRDefault="00066222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222"/>
    <w:rsid w:val="0015074B"/>
    <w:rsid w:val="0029639D"/>
    <w:rsid w:val="00326F90"/>
    <w:rsid w:val="00621548"/>
    <w:rsid w:val="007E494D"/>
    <w:rsid w:val="0087649D"/>
    <w:rsid w:val="009F7CDC"/>
    <w:rsid w:val="00A75A2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7397F"/>
  <w14:defaultImageDpi w14:val="300"/>
  <w15:docId w15:val="{7A93BB9D-A6B9-42F1-B8A6-729D894A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rxiv.org/abs/2405.13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lab.research.google.com/drive/1UghzwCkFWdi0lSYrv-XYwXn0mxEnFfBM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6BA2D2-7D0E-4474-B749-F6AD2199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Cecilia Orellana Castro</cp:lastModifiedBy>
  <cp:revision>2</cp:revision>
  <dcterms:created xsi:type="dcterms:W3CDTF">2026-08-14T20:49:00Z</dcterms:created>
  <dcterms:modified xsi:type="dcterms:W3CDTF">2026-08-14T20:49:00Z</dcterms:modified>
  <cp:category/>
</cp:coreProperties>
</file>